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sz w:val="44"/>
          <w:szCs w:val="44"/>
        </w:rPr>
      </w:pPr>
      <w:r>
        <w:rPr>
          <w:sz w:val="44"/>
          <w:szCs w:val="44"/>
        </w:rPr>
        <w:pict>
          <v:shape id="_x0000_i1025" o:spt="136" type="#_x0000_t136" style="height:57pt;width:425.25pt;" fillcolor="#FFFFFF" filled="t" stroked="t" coordsize="21600,21600" adj="10800">
            <v:path/>
            <v:fill on="t" color2="#FFFFFF" focussize="0,0"/>
            <v:stroke color="#FFFFFF"/>
            <v:imagedata o:title=""/>
            <o:lock v:ext="edit" aspectratio="f"/>
            <v:textpath on="t" fitshape="t" fitpath="t" trim="t" xscale="f" string="伊春市嘉荫生态环境局文件" style="font-family:方正小标宋简体;font-size:36pt;font-weight:bold;v-text-align:center;"/>
            <w10:wrap type="none"/>
            <w10:anchorlock/>
          </v:shape>
        </w:pic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sz w:val="32"/>
          <w:szCs w:val="32"/>
        </w:rPr>
      </w:pPr>
    </w:p>
    <w:p>
      <w:pPr>
        <w:keepNext w:val="0"/>
        <w:keepLines w:val="0"/>
        <w:pageBreakBefore w:val="0"/>
        <w:widowControl w:val="0"/>
        <w:tabs>
          <w:tab w:val="left" w:pos="480"/>
          <w:tab w:val="left" w:pos="8640"/>
          <w:tab w:val="left" w:pos="880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pacing w:val="-20"/>
          <w:sz w:val="32"/>
          <w:szCs w:val="32"/>
        </w:rPr>
      </w:pPr>
    </w:p>
    <w:p>
      <w:pPr>
        <w:keepNext w:val="0"/>
        <w:keepLines w:val="0"/>
        <w:pageBreakBefore w:val="0"/>
        <w:widowControl w:val="0"/>
        <w:tabs>
          <w:tab w:val="left" w:pos="480"/>
          <w:tab w:val="left" w:pos="8640"/>
          <w:tab w:val="left" w:pos="880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pacing w:val="-20"/>
          <w:sz w:val="32"/>
          <w:szCs w:val="32"/>
        </w:rPr>
      </w:pPr>
    </w:p>
    <w:p>
      <w:pPr>
        <w:keepNext w:val="0"/>
        <w:keepLines w:val="0"/>
        <w:pageBreakBefore w:val="0"/>
        <w:widowControl w:val="0"/>
        <w:tabs>
          <w:tab w:val="left" w:pos="480"/>
          <w:tab w:val="left" w:pos="8640"/>
          <w:tab w:val="left" w:pos="880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pacing w:val="-20"/>
          <w:sz w:val="32"/>
          <w:szCs w:val="32"/>
        </w:rPr>
      </w:pPr>
    </w:p>
    <w:p>
      <w:pPr>
        <w:keepNext w:val="0"/>
        <w:keepLines w:val="0"/>
        <w:pageBreakBefore w:val="0"/>
        <w:widowControl w:val="0"/>
        <w:tabs>
          <w:tab w:val="left" w:pos="480"/>
          <w:tab w:val="left" w:pos="8640"/>
          <w:tab w:val="left" w:pos="8800"/>
        </w:tabs>
        <w:kinsoku/>
        <w:wordWrap/>
        <w:overflowPunct/>
        <w:topLinePunct w:val="0"/>
        <w:autoSpaceDE/>
        <w:autoSpaceDN/>
        <w:bidi w:val="0"/>
        <w:adjustRightInd/>
        <w:snapToGrid/>
        <w:spacing w:line="560" w:lineRule="exact"/>
        <w:jc w:val="center"/>
        <w:textAlignment w:val="auto"/>
        <w:rPr>
          <w:sz w:val="32"/>
          <w:szCs w:val="32"/>
        </w:rPr>
      </w:pPr>
      <w:r>
        <w:rPr>
          <w:rFonts w:hint="eastAsia" w:ascii="仿宋_GB2312" w:hAnsi="仿宋_GB2312" w:eastAsia="仿宋_GB2312" w:cs="仿宋_GB2312"/>
          <w:b w:val="0"/>
          <w:bCs/>
          <w:spacing w:val="-20"/>
          <w:sz w:val="32"/>
          <w:szCs w:val="32"/>
        </w:rPr>
        <w:t>嘉环建审〔</w:t>
      </w:r>
      <w:r>
        <w:rPr>
          <w:rFonts w:hint="eastAsia" w:ascii="仿宋_GB2312" w:hAnsi="仿宋_GB2312" w:eastAsia="仿宋_GB2312" w:cs="仿宋_GB2312"/>
          <w:b w:val="0"/>
          <w:bCs/>
          <w:spacing w:val="-20"/>
          <w:sz w:val="32"/>
          <w:szCs w:val="32"/>
          <w:lang w:val="en-US" w:eastAsia="zh-CN"/>
        </w:rPr>
        <w:t>2026</w:t>
      </w:r>
      <w:r>
        <w:rPr>
          <w:rFonts w:hint="eastAsia" w:ascii="仿宋_GB2312" w:hAnsi="仿宋_GB2312" w:eastAsia="仿宋_GB2312" w:cs="仿宋_GB2312"/>
          <w:b w:val="0"/>
          <w:bCs/>
          <w:spacing w:val="-20"/>
          <w:sz w:val="32"/>
          <w:szCs w:val="32"/>
        </w:rPr>
        <w:t>〕</w:t>
      </w:r>
      <w:r>
        <w:rPr>
          <w:rFonts w:hint="eastAsia" w:ascii="仿宋_GB2312" w:hAnsi="仿宋_GB2312" w:eastAsia="仿宋_GB2312" w:cs="仿宋_GB2312"/>
          <w:b w:val="0"/>
          <w:bCs/>
          <w:spacing w:val="-20"/>
          <w:sz w:val="32"/>
          <w:szCs w:val="32"/>
          <w:lang w:val="en-US" w:eastAsia="zh-CN"/>
        </w:rPr>
        <w:t>1号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bookmarkStart w:id="0" w:name="OLE_LINK2"/>
      <w:r>
        <w:rPr>
          <w:rFonts w:hint="eastAsia" w:ascii="方正小标宋简体" w:hAnsi="方正小标宋简体" w:eastAsia="方正小标宋简体" w:cs="方正小标宋简体"/>
          <w:b w:val="0"/>
          <w:bCs w:val="0"/>
          <w:sz w:val="44"/>
          <w:szCs w:val="44"/>
          <w:lang w:val="en-US" w:eastAsia="zh-CN"/>
        </w:rPr>
        <w:t>黑龙江伊春市嘉荫县乌拉嘎镇胜利村低温压榨豆油（胜元油脂有限公司）生产线建设项目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jc w:val="center"/>
        <w:textAlignment w:val="auto"/>
        <w:outlineLvl w:val="9"/>
        <w:rPr>
          <w:rFonts w:hint="eastAsia" w:ascii="仿宋_GB2312" w:hAnsi="仿宋_GB2312" w:eastAsia="仿宋_GB2312" w:cs="仿宋_GB2312"/>
          <w:b w:val="0"/>
          <w:bCs w:val="0"/>
          <w:spacing w:val="-20"/>
          <w:sz w:val="44"/>
          <w:szCs w:val="44"/>
          <w:lang w:val="en-US" w:eastAsia="zh-CN"/>
        </w:rPr>
      </w:pPr>
      <w:r>
        <w:rPr>
          <w:rFonts w:hint="eastAsia" w:ascii="方正小标宋简体" w:hAnsi="方正小标宋简体" w:eastAsia="方正小标宋简体" w:cs="方正小标宋简体"/>
          <w:b w:val="0"/>
          <w:bCs w:val="0"/>
          <w:sz w:val="44"/>
          <w:szCs w:val="44"/>
        </w:rPr>
        <w:t>环境影响报告表</w:t>
      </w:r>
      <w:bookmarkEnd w:id="0"/>
      <w:r>
        <w:rPr>
          <w:rFonts w:hint="eastAsia" w:ascii="方正小标宋简体" w:hAnsi="方正小标宋简体" w:eastAsia="方正小标宋简体" w:cs="方正小标宋简体"/>
          <w:b w:val="0"/>
          <w:bCs w:val="0"/>
          <w:sz w:val="44"/>
          <w:szCs w:val="44"/>
        </w:rPr>
        <w:t>的批复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jc w:val="both"/>
        <w:textAlignment w:val="auto"/>
        <w:outlineLvl w:val="9"/>
        <w:rPr>
          <w:rFonts w:hint="eastAsia" w:ascii="仿宋_GB2312" w:hAnsi="仿宋_GB2312" w:eastAsia="仿宋_GB2312" w:cs="仿宋_GB2312"/>
          <w:b w:val="0"/>
          <w:bCs/>
          <w:spacing w:val="-2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嘉荫县乌拉嘎镇人民政府：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rPr>
      </w:pPr>
      <w:r>
        <w:rPr>
          <w:rFonts w:hint="eastAsia" w:ascii="仿宋_GB2312" w:hAnsi="仿宋_GB2312" w:eastAsia="仿宋_GB2312" w:cs="仿宋_GB2312"/>
          <w:b w:val="0"/>
          <w:bCs/>
          <w:spacing w:val="-20"/>
          <w:sz w:val="32"/>
          <w:szCs w:val="32"/>
        </w:rPr>
        <w:t>你单位报送的《</w:t>
      </w:r>
      <w:r>
        <w:rPr>
          <w:rFonts w:hint="eastAsia" w:ascii="仿宋_GB2312" w:hAnsi="仿宋_GB2312" w:eastAsia="仿宋_GB2312" w:cs="仿宋_GB2312"/>
          <w:b w:val="0"/>
          <w:bCs/>
          <w:spacing w:val="-20"/>
          <w:sz w:val="32"/>
          <w:szCs w:val="32"/>
          <w:lang w:val="en-US" w:eastAsia="zh-CN"/>
        </w:rPr>
        <w:t>黑龙江伊春市嘉荫县乌拉嘎镇胜利村低温压榨豆油（胜元油脂有限公司）生产线建设项目环境影响报告表</w:t>
      </w:r>
      <w:r>
        <w:rPr>
          <w:rFonts w:hint="eastAsia" w:ascii="仿宋_GB2312" w:hAnsi="仿宋_GB2312" w:eastAsia="仿宋_GB2312" w:cs="仿宋_GB2312"/>
          <w:b w:val="0"/>
          <w:bCs/>
          <w:spacing w:val="-20"/>
          <w:sz w:val="32"/>
          <w:szCs w:val="32"/>
          <w:lang w:eastAsia="zh-CN"/>
        </w:rPr>
        <w:t>》</w:t>
      </w:r>
      <w:r>
        <w:rPr>
          <w:rFonts w:hint="eastAsia" w:ascii="仿宋_GB2312" w:hAnsi="仿宋_GB2312" w:eastAsia="仿宋_GB2312" w:cs="仿宋_GB2312"/>
          <w:b w:val="0"/>
          <w:bCs/>
          <w:spacing w:val="-20"/>
          <w:sz w:val="32"/>
          <w:szCs w:val="32"/>
        </w:rPr>
        <w:t>（以下简称《报告表》）已收悉，经审查，经专家组评审后，本项目的建设符合国家相关政策和产业结构调整方向，现将审批意见批复如下：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outlineLvl w:val="9"/>
        <w:rPr>
          <w:rFonts w:hint="eastAsia" w:ascii="黑体" w:hAnsi="黑体" w:eastAsia="黑体" w:cs="黑体"/>
          <w:b w:val="0"/>
          <w:bCs/>
          <w:spacing w:val="-20"/>
          <w:sz w:val="32"/>
          <w:szCs w:val="32"/>
        </w:rPr>
      </w:pPr>
      <w:r>
        <w:rPr>
          <w:rFonts w:hint="eastAsia" w:ascii="黑体" w:hAnsi="黑体" w:eastAsia="黑体" w:cs="黑体"/>
          <w:b w:val="0"/>
          <w:bCs/>
          <w:spacing w:val="-20"/>
          <w:sz w:val="32"/>
          <w:szCs w:val="32"/>
        </w:rPr>
        <w:t>一、具体内容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项目名称：</w:t>
      </w:r>
      <w:bookmarkStart w:id="1" w:name="OLE_LINK1"/>
      <w:r>
        <w:rPr>
          <w:rFonts w:hint="eastAsia" w:ascii="仿宋_GB2312" w:hAnsi="仿宋_GB2312" w:eastAsia="仿宋_GB2312" w:cs="仿宋_GB2312"/>
          <w:b w:val="0"/>
          <w:bCs/>
          <w:spacing w:val="-20"/>
          <w:sz w:val="32"/>
          <w:szCs w:val="32"/>
          <w:lang w:val="en-US" w:eastAsia="zh-CN"/>
        </w:rPr>
        <w:t>黑龙江伊春市嘉荫县乌拉嘎镇胜利村低温压榨豆油（胜元油脂有限公司）生产线建设</w:t>
      </w:r>
      <w:bookmarkEnd w:id="1"/>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建设地点：伊春市嘉荫县乌拉嘎镇金水村</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建设单位：嘉荫县乌拉嘎镇人民政府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rPr>
        <w:t>建设性质</w:t>
      </w:r>
      <w:r>
        <w:rPr>
          <w:rFonts w:hint="eastAsia" w:ascii="仿宋_GB2312" w:hAnsi="仿宋_GB2312" w:eastAsia="仿宋_GB2312" w:cs="仿宋_GB2312"/>
          <w:b w:val="0"/>
          <w:bCs/>
          <w:spacing w:val="-20"/>
          <w:sz w:val="32"/>
          <w:szCs w:val="32"/>
          <w:lang w:val="en-US" w:eastAsia="zh-CN"/>
        </w:rPr>
        <w:t>：新建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环境影响评价机构：哈尔滨驰文环保技术服务有限公司</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项目内容：本项目总占地面积12000m2，建设内容包括生产车间、菜枯堆放区、原料堆放区、储油区、办公生活区及配套设施，年产非转基因大豆成品油130t、豆饼376.73t和油角1t。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总投资：130万元，其中环保投资8万元。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pacing w:val="-20"/>
          <w:sz w:val="32"/>
          <w:szCs w:val="32"/>
        </w:rPr>
        <w:t>二、</w:t>
      </w:r>
      <w:r>
        <w:rPr>
          <w:rFonts w:hint="eastAsia" w:ascii="黑体" w:hAnsi="黑体" w:eastAsia="黑体" w:cs="黑体"/>
          <w:b w:val="0"/>
          <w:bCs/>
          <w:sz w:val="32"/>
          <w:szCs w:val="32"/>
          <w:lang w:val="zh-CN"/>
        </w:rPr>
        <w:t>项目</w:t>
      </w:r>
      <w:r>
        <w:rPr>
          <w:rFonts w:hint="eastAsia" w:ascii="黑体" w:hAnsi="黑体" w:eastAsia="黑体" w:cs="黑体"/>
          <w:b w:val="0"/>
          <w:bCs/>
          <w:sz w:val="32"/>
          <w:szCs w:val="32"/>
          <w:lang w:val="en-US" w:eastAsia="zh-CN"/>
        </w:rPr>
        <w:t>污染防治措施</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一、建设期</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1、废水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施工期无生产废水，施工人员生活污水排入防渗旱厕，定期清掏。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2、废气</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施工场地洒水抑尘，防止扬尘对周围环境空气的影响。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3、噪声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施工期选用低噪声设备，加强运输车辆管理，夜间停止施工等措施，采取措施后场界噪声要符合《建筑施工场界环境噪声排放标准》(GB12523-2011)要求。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4、固体废物</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本项目产生的生活垃圾定点袋装后交由市政部门统一处理。建筑垃圾运送至指定地点处置，不对外随意排放。</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二、运营期</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1、废水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设备清洗废水，地面清洗废水经过隔油池处理后与生活污水一起排入防渗化粪池后暂存于防渗污水储池，废水中污染物浓度满足《污水综合排放标准》（GB8978-1996）三级标准后，通过地下管网排水口排放到乌拉嘎胜利村水处理厂处理达到《农村生活污水处理设施水污染物排放标准》（DB23/2456-2019）后排入乌拉嘎河。</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2、固体废物</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bookmarkStart w:id="2" w:name="_Hlk111126776"/>
      <w:r>
        <w:rPr>
          <w:rFonts w:hint="eastAsia" w:ascii="仿宋_GB2312" w:hAnsi="仿宋_GB2312" w:eastAsia="仿宋_GB2312" w:cs="仿宋_GB2312"/>
          <w:b w:val="0"/>
          <w:bCs/>
          <w:kern w:val="0"/>
          <w:sz w:val="32"/>
          <w:szCs w:val="32"/>
          <w:lang w:val="en-US" w:eastAsia="zh-CN"/>
        </w:rPr>
        <w:t>生活垃圾由环卫部门统一清运。废机油收集后暂存危废暂存间，收集后交由有资质的单位处置。污泥在每年生产期前进行清理，直接外售相关厂家综合利用。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3、废气</w:t>
      </w:r>
      <w:bookmarkEnd w:id="2"/>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生产区采取封闭措施，针对产生恶臭区域，采取加罩密封并喷洒除臭剂，安装排风扇加强通风，加快臭气的稀释和扩散，菜饼日产日清缩短停放时间。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4、噪声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采用低噪声设备、隔声、消声以及减振等措施将厂界噪声排放控制在60dB（A）以下，满足《工业企业厂界噪声排放标准》（GB12348-2008）中2类标准要求。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eastAsia" w:ascii="黑体" w:hAnsi="黑体" w:eastAsia="黑体" w:cs="黑体"/>
          <w:b w:val="0"/>
          <w:bCs/>
          <w:kern w:val="0"/>
          <w:sz w:val="32"/>
          <w:szCs w:val="32"/>
        </w:rPr>
      </w:pPr>
      <w:r>
        <w:rPr>
          <w:rFonts w:hint="eastAsia" w:ascii="黑体" w:hAnsi="黑体" w:eastAsia="黑体" w:cs="黑体"/>
          <w:b w:val="0"/>
          <w:bCs/>
          <w:kern w:val="0"/>
          <w:sz w:val="32"/>
          <w:szCs w:val="32"/>
          <w:lang w:val="en-US" w:eastAsia="zh-CN"/>
        </w:rPr>
        <w:t>三</w:t>
      </w:r>
      <w:r>
        <w:rPr>
          <w:rFonts w:hint="eastAsia" w:ascii="黑体" w:hAnsi="黑体" w:eastAsia="黑体" w:cs="黑体"/>
          <w:b w:val="0"/>
          <w:bCs/>
          <w:kern w:val="0"/>
          <w:sz w:val="32"/>
          <w:szCs w:val="32"/>
        </w:rPr>
        <w:t>、项目管理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eastAsia="zh-CN"/>
        </w:rPr>
      </w:pPr>
      <w:r>
        <w:rPr>
          <w:rFonts w:hint="eastAsia" w:ascii="仿宋_GB2312" w:hAnsi="仿宋_GB2312" w:eastAsia="仿宋_GB2312" w:cs="仿宋_GB2312"/>
          <w:b w:val="0"/>
          <w:bCs/>
          <w:kern w:val="0"/>
          <w:sz w:val="32"/>
          <w:szCs w:val="32"/>
        </w:rPr>
        <w:t>建设单位必须严格落实报告表</w:t>
      </w:r>
      <w:bookmarkStart w:id="3" w:name="_GoBack"/>
      <w:bookmarkEnd w:id="3"/>
      <w:r>
        <w:rPr>
          <w:rFonts w:hint="eastAsia" w:ascii="仿宋_GB2312" w:hAnsi="仿宋_GB2312" w:eastAsia="仿宋_GB2312" w:cs="仿宋_GB2312"/>
          <w:b w:val="0"/>
          <w:bCs/>
          <w:kern w:val="0"/>
          <w:sz w:val="32"/>
          <w:szCs w:val="32"/>
        </w:rPr>
        <w:t>提出的各项环保措施，保证各配套环保设备正常运行。保证环境保护设施建设与主体工程建设 “三同时”</w:t>
      </w:r>
      <w:r>
        <w:rPr>
          <w:rFonts w:hint="eastAsia" w:ascii="仿宋_GB2312" w:hAnsi="仿宋_GB2312" w:eastAsia="仿宋_GB2312" w:cs="仿宋_GB2312"/>
          <w:b w:val="0"/>
          <w:bCs/>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spacing w:val="-20"/>
          <w:sz w:val="32"/>
          <w:szCs w:val="32"/>
          <w:lang w:eastAsia="zh-CN"/>
        </w:rPr>
      </w:pPr>
      <w:r>
        <w:rPr>
          <w:rFonts w:hint="eastAsia" w:ascii="仿宋_GB2312" w:hAnsi="仿宋_GB2312" w:eastAsia="仿宋_GB2312" w:cs="仿宋_GB2312"/>
          <w:b w:val="0"/>
          <w:bCs/>
          <w:kern w:val="0"/>
          <w:sz w:val="32"/>
          <w:szCs w:val="32"/>
        </w:rPr>
        <w:t>项目竣工后，建设单位须按规定程序</w:t>
      </w:r>
      <w:r>
        <w:rPr>
          <w:rFonts w:hint="eastAsia" w:ascii="仿宋_GB2312" w:hAnsi="仿宋_GB2312" w:eastAsia="仿宋_GB2312" w:cs="仿宋_GB2312"/>
          <w:b w:val="0"/>
          <w:bCs/>
          <w:kern w:val="0"/>
          <w:sz w:val="32"/>
          <w:szCs w:val="32"/>
          <w:lang w:eastAsia="zh-CN"/>
        </w:rPr>
        <w:t>自行验收，相关文件报备至本地区生态环境部门备案</w:t>
      </w:r>
      <w:r>
        <w:rPr>
          <w:rFonts w:hint="eastAsia" w:ascii="仿宋_GB2312" w:hAnsi="仿宋_GB2312" w:eastAsia="仿宋_GB2312" w:cs="仿宋_GB2312"/>
          <w:b w:val="0"/>
          <w:bCs/>
          <w:kern w:val="0"/>
          <w:sz w:val="32"/>
          <w:szCs w:val="32"/>
        </w:rPr>
        <w:t>，</w:t>
      </w:r>
      <w:r>
        <w:rPr>
          <w:rFonts w:hint="eastAsia" w:ascii="仿宋_GB2312" w:hAnsi="仿宋_GB2312" w:eastAsia="仿宋_GB2312" w:cs="仿宋_GB2312"/>
          <w:b w:val="0"/>
          <w:bCs/>
          <w:kern w:val="0"/>
          <w:sz w:val="32"/>
          <w:szCs w:val="32"/>
          <w:lang w:eastAsia="zh-CN"/>
        </w:rPr>
        <w:t>积极配合日后环境监管。</w:t>
      </w:r>
      <w:r>
        <w:rPr>
          <w:rFonts w:hint="eastAsia" w:ascii="仿宋_GB2312" w:hAnsi="仿宋_GB2312" w:eastAsia="仿宋_GB2312" w:cs="仿宋_GB2312"/>
          <w:b w:val="0"/>
          <w:bCs/>
          <w:kern w:val="0"/>
          <w:sz w:val="32"/>
          <w:szCs w:val="32"/>
        </w:rPr>
        <w:t>严格执行生态保护措施，如发生重大变动，须重新审批。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040" w:firstLineChars="18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eastAsia="zh-CN"/>
        </w:rPr>
        <w:t>伊春市嘉荫生态环境局</w:t>
      </w:r>
      <w:r>
        <w:rPr>
          <w:rFonts w:hint="eastAsia" w:ascii="仿宋_GB2312" w:hAnsi="仿宋_GB2312" w:eastAsia="仿宋_GB2312" w:cs="仿宋_GB2312"/>
          <w:b w:val="0"/>
          <w:bCs/>
          <w:spacing w:val="-2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firstLine="5320" w:firstLineChars="1900"/>
        <w:jc w:val="both"/>
        <w:textAlignment w:val="auto"/>
        <w:outlineLvl w:val="9"/>
        <w:rPr>
          <w:rFonts w:hint="eastAsia"/>
          <w:lang w:val="en-US" w:eastAsia="zh-CN"/>
        </w:rPr>
      </w:pPr>
      <w:r>
        <w:rPr>
          <w:rFonts w:hint="eastAsia" w:ascii="仿宋_GB2312" w:hAnsi="仿宋_GB2312" w:eastAsia="仿宋_GB2312" w:cs="仿宋_GB2312"/>
          <w:b w:val="0"/>
          <w:bCs/>
          <w:spacing w:val="-20"/>
          <w:sz w:val="32"/>
          <w:szCs w:val="32"/>
          <w:lang w:val="en-US" w:eastAsia="zh-CN"/>
        </w:rPr>
        <w:t>2026</w:t>
      </w:r>
      <w:r>
        <w:rPr>
          <w:rFonts w:hint="eastAsia" w:ascii="仿宋_GB2312" w:hAnsi="仿宋_GB2312" w:eastAsia="仿宋_GB2312" w:cs="仿宋_GB2312"/>
          <w:b w:val="0"/>
          <w:bCs/>
          <w:spacing w:val="-20"/>
          <w:sz w:val="32"/>
          <w:szCs w:val="32"/>
        </w:rPr>
        <w:t>年</w:t>
      </w:r>
      <w:r>
        <w:rPr>
          <w:rFonts w:hint="eastAsia" w:ascii="仿宋_GB2312" w:hAnsi="仿宋_GB2312" w:eastAsia="仿宋_GB2312" w:cs="仿宋_GB2312"/>
          <w:b w:val="0"/>
          <w:bCs/>
          <w:spacing w:val="-20"/>
          <w:sz w:val="32"/>
          <w:szCs w:val="32"/>
          <w:lang w:val="en-US" w:eastAsia="zh-CN"/>
        </w:rPr>
        <w:t>1</w:t>
      </w:r>
      <w:r>
        <w:rPr>
          <w:rFonts w:hint="eastAsia" w:ascii="仿宋_GB2312" w:hAnsi="仿宋_GB2312" w:eastAsia="仿宋_GB2312" w:cs="仿宋_GB2312"/>
          <w:b w:val="0"/>
          <w:bCs/>
          <w:spacing w:val="-20"/>
          <w:sz w:val="32"/>
          <w:szCs w:val="32"/>
        </w:rPr>
        <w:t>月</w:t>
      </w:r>
      <w:r>
        <w:rPr>
          <w:rFonts w:hint="eastAsia" w:ascii="仿宋_GB2312" w:hAnsi="仿宋_GB2312" w:eastAsia="仿宋_GB2312" w:cs="仿宋_GB2312"/>
          <w:b w:val="0"/>
          <w:bCs/>
          <w:spacing w:val="-20"/>
          <w:sz w:val="32"/>
          <w:szCs w:val="32"/>
          <w:lang w:val="en-US" w:eastAsia="zh-CN"/>
        </w:rPr>
        <w:t>28日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firstLine="560" w:firstLineChars="200"/>
        <w:jc w:val="both"/>
        <w:textAlignment w:val="auto"/>
        <w:outlineLvl w:val="9"/>
        <w:rPr>
          <w:rFonts w:hint="eastAsia" w:cstheme="minorBidi"/>
          <w:kern w:val="2"/>
          <w:sz w:val="32"/>
          <w:szCs w:val="32"/>
          <w:lang w:val="en-US" w:eastAsia="zh-CN" w:bidi="ar-SA"/>
        </w:rPr>
      </w:pPr>
      <w:r>
        <w:rPr>
          <w:rFonts w:hint="eastAsia" w:ascii="仿宋_GB2312" w:hAnsi="仿宋_GB2312" w:eastAsia="仿宋_GB2312" w:cs="仿宋_GB2312"/>
          <w:b w:val="0"/>
          <w:bCs/>
          <w:spacing w:val="-20"/>
          <w:sz w:val="32"/>
          <w:szCs w:val="32"/>
        </w:rPr>
        <w:pict>
          <v:line id="_x0000_s1033" o:spid="_x0000_s1033" o:spt="20" style="position:absolute;left:0pt;margin-left:0pt;margin-top:28.6pt;height:0pt;width:448pt;z-index:251661312;mso-width-relative:page;mso-height-relative:page;" filled="f" coordsize="21600,21600">
            <v:path arrowok="t"/>
            <v:fill on="f" focussize="0,0"/>
            <v:stroke/>
            <v:imagedata o:title=""/>
            <o:lock v:ext="edit"/>
          </v:line>
        </w:pict>
      </w:r>
      <w:r>
        <w:rPr>
          <w:rFonts w:hint="eastAsia" w:ascii="仿宋_GB2312" w:hAnsi="仿宋_GB2312" w:eastAsia="仿宋_GB2312" w:cs="仿宋_GB2312"/>
          <w:b w:val="0"/>
          <w:bCs/>
          <w:spacing w:val="-20"/>
          <w:sz w:val="32"/>
          <w:szCs w:val="32"/>
        </w:rPr>
        <w:pict>
          <v:line id="_x0000_s1034" o:spid="_x0000_s1034" o:spt="20" style="position:absolute;left:0pt;margin-left:0pt;margin-top:1.6pt;height:0pt;width:448pt;z-index:251660288;mso-width-relative:page;mso-height-relative:page;" filled="f" coordsize="21600,21600">
            <v:path arrowok="t"/>
            <v:fill on="f" focussize="0,0"/>
            <v:stroke/>
            <v:imagedata o:title=""/>
            <o:lock v:ext="edit"/>
          </v:line>
        </w:pict>
      </w:r>
      <w:r>
        <w:rPr>
          <w:rFonts w:hint="eastAsia" w:ascii="仿宋_GB2312" w:hAnsi="仿宋_GB2312" w:eastAsia="仿宋_GB2312" w:cs="仿宋_GB2312"/>
          <w:b w:val="0"/>
          <w:bCs/>
          <w:spacing w:val="-20"/>
          <w:sz w:val="32"/>
          <w:szCs w:val="32"/>
          <w:lang w:eastAsia="zh-CN"/>
        </w:rPr>
        <w:t>伊春市嘉荫生态环境局</w:t>
      </w:r>
      <w:r>
        <w:rPr>
          <w:rFonts w:hint="eastAsia" w:ascii="仿宋_GB2312" w:hAnsi="仿宋_GB2312" w:eastAsia="仿宋_GB2312" w:cs="仿宋_GB2312"/>
          <w:b w:val="0"/>
          <w:bCs/>
          <w:spacing w:val="-20"/>
          <w:sz w:val="32"/>
          <w:szCs w:val="32"/>
        </w:rPr>
        <w:t xml:space="preserve">            </w:t>
      </w:r>
      <w:r>
        <w:rPr>
          <w:rFonts w:hint="eastAsia" w:ascii="仿宋_GB2312" w:hAnsi="仿宋_GB2312" w:eastAsia="仿宋_GB2312" w:cs="仿宋_GB2312"/>
          <w:b w:val="0"/>
          <w:bCs/>
          <w:spacing w:val="-20"/>
          <w:sz w:val="32"/>
          <w:szCs w:val="32"/>
          <w:lang w:val="en-US" w:eastAsia="zh-CN"/>
        </w:rPr>
        <w:t xml:space="preserve">        </w:t>
      </w:r>
      <w:r>
        <w:rPr>
          <w:rFonts w:hint="eastAsia" w:ascii="仿宋_GB2312" w:hAnsi="仿宋_GB2312" w:eastAsia="仿宋_GB2312" w:cs="仿宋_GB2312"/>
          <w:b w:val="0"/>
          <w:bCs/>
          <w:spacing w:val="-20"/>
          <w:sz w:val="32"/>
          <w:szCs w:val="32"/>
        </w:rPr>
        <w:t xml:space="preserve">   </w:t>
      </w:r>
      <w:r>
        <w:rPr>
          <w:rFonts w:hint="eastAsia" w:ascii="仿宋_GB2312" w:hAnsi="仿宋_GB2312" w:eastAsia="仿宋_GB2312" w:cs="仿宋_GB2312"/>
          <w:b w:val="0"/>
          <w:bCs/>
          <w:spacing w:val="-20"/>
          <w:sz w:val="32"/>
          <w:szCs w:val="32"/>
          <w:lang w:val="en-US" w:eastAsia="zh-CN"/>
        </w:rPr>
        <w:t xml:space="preserve">   </w:t>
      </w:r>
      <w:r>
        <w:rPr>
          <w:rFonts w:hint="eastAsia" w:ascii="仿宋_GB2312" w:hAnsi="仿宋_GB2312" w:eastAsia="仿宋_GB2312" w:cs="仿宋_GB2312"/>
          <w:b w:val="0"/>
          <w:bCs/>
          <w:spacing w:val="-20"/>
          <w:sz w:val="32"/>
          <w:szCs w:val="32"/>
        </w:rPr>
        <w:t xml:space="preserve"> </w:t>
      </w:r>
      <w:r>
        <w:rPr>
          <w:rFonts w:hint="eastAsia" w:ascii="仿宋_GB2312" w:hAnsi="仿宋_GB2312" w:eastAsia="仿宋_GB2312" w:cs="仿宋_GB2312"/>
          <w:b w:val="0"/>
          <w:bCs/>
          <w:spacing w:val="-20"/>
          <w:sz w:val="32"/>
          <w:szCs w:val="32"/>
          <w:lang w:val="en-US" w:eastAsia="zh-CN"/>
        </w:rPr>
        <w:t>2026</w:t>
      </w:r>
      <w:r>
        <w:rPr>
          <w:rFonts w:hint="eastAsia" w:ascii="仿宋_GB2312" w:hAnsi="仿宋_GB2312" w:eastAsia="仿宋_GB2312" w:cs="仿宋_GB2312"/>
          <w:b w:val="0"/>
          <w:bCs/>
          <w:spacing w:val="-20"/>
          <w:sz w:val="32"/>
          <w:szCs w:val="32"/>
        </w:rPr>
        <w:t>年</w:t>
      </w:r>
      <w:r>
        <w:rPr>
          <w:rFonts w:hint="eastAsia" w:ascii="仿宋_GB2312" w:hAnsi="仿宋_GB2312" w:eastAsia="仿宋_GB2312" w:cs="仿宋_GB2312"/>
          <w:b w:val="0"/>
          <w:bCs/>
          <w:spacing w:val="-20"/>
          <w:sz w:val="32"/>
          <w:szCs w:val="32"/>
          <w:lang w:val="en-US" w:eastAsia="zh-CN"/>
        </w:rPr>
        <w:t>1</w:t>
      </w:r>
      <w:r>
        <w:rPr>
          <w:rFonts w:hint="eastAsia" w:ascii="仿宋_GB2312" w:hAnsi="仿宋_GB2312" w:eastAsia="仿宋_GB2312" w:cs="仿宋_GB2312"/>
          <w:b w:val="0"/>
          <w:bCs/>
          <w:spacing w:val="-20"/>
          <w:sz w:val="32"/>
          <w:szCs w:val="32"/>
        </w:rPr>
        <w:t>月</w:t>
      </w:r>
      <w:r>
        <w:rPr>
          <w:rFonts w:hint="eastAsia" w:ascii="仿宋_GB2312" w:hAnsi="仿宋_GB2312" w:eastAsia="仿宋_GB2312" w:cs="仿宋_GB2312"/>
          <w:b w:val="0"/>
          <w:bCs/>
          <w:spacing w:val="-20"/>
          <w:sz w:val="32"/>
          <w:szCs w:val="32"/>
          <w:lang w:val="en-US" w:eastAsia="zh-CN"/>
        </w:rPr>
        <w:t>28</w:t>
      </w:r>
      <w:r>
        <w:rPr>
          <w:rFonts w:hint="eastAsia" w:ascii="仿宋_GB2312" w:hAnsi="仿宋_GB2312" w:eastAsia="仿宋_GB2312" w:cs="仿宋_GB2312"/>
          <w:b w:val="0"/>
          <w:bCs/>
          <w:spacing w:val="-20"/>
          <w:sz w:val="32"/>
          <w:szCs w:val="32"/>
        </w:rPr>
        <w:t xml:space="preserve">日 </w:t>
      </w:r>
      <w:r>
        <w:rPr>
          <w:rFonts w:hint="eastAsia" w:ascii="仿宋" w:hAnsi="仿宋" w:eastAsia="仿宋" w:cs="仿宋"/>
          <w:b w:val="0"/>
          <w:bCs/>
          <w:spacing w:val="-20"/>
          <w:sz w:val="32"/>
          <w:szCs w:val="32"/>
        </w:rPr>
        <w:t xml:space="preserve">   </w:t>
      </w:r>
    </w:p>
    <w:sectPr>
      <w:footerReference r:id="rId3" w:type="default"/>
      <w:pgSz w:w="11906" w:h="16838"/>
      <w:pgMar w:top="1531" w:right="1247" w:bottom="1417"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77B95"/>
    <w:multiLevelType w:val="singleLevel"/>
    <w:tmpl w:val="3F777B95"/>
    <w:lvl w:ilvl="0" w:tentative="0">
      <w:start w:val="1"/>
      <w:numFmt w:val="bullet"/>
      <w:pStyle w:val="10"/>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IwMTNiZTM1ZTkzNWUxNjhjNTQzMjg5NDIzNjE5OGMifQ=="/>
  </w:docVars>
  <w:rsids>
    <w:rsidRoot w:val="001B0C2F"/>
    <w:rsid w:val="0001730E"/>
    <w:rsid w:val="001B0C2F"/>
    <w:rsid w:val="001E0FB5"/>
    <w:rsid w:val="005B0F7C"/>
    <w:rsid w:val="006C414B"/>
    <w:rsid w:val="009A63DC"/>
    <w:rsid w:val="009D2AD3"/>
    <w:rsid w:val="00EF10B6"/>
    <w:rsid w:val="010D0030"/>
    <w:rsid w:val="025E3ACE"/>
    <w:rsid w:val="03534BA3"/>
    <w:rsid w:val="04B45A07"/>
    <w:rsid w:val="05B616A5"/>
    <w:rsid w:val="060A133A"/>
    <w:rsid w:val="068A39D5"/>
    <w:rsid w:val="0ABA65F9"/>
    <w:rsid w:val="0AF24DBE"/>
    <w:rsid w:val="0C304361"/>
    <w:rsid w:val="0DDD4B8A"/>
    <w:rsid w:val="10643BE8"/>
    <w:rsid w:val="11111022"/>
    <w:rsid w:val="13820A34"/>
    <w:rsid w:val="14455071"/>
    <w:rsid w:val="149A7A47"/>
    <w:rsid w:val="153A470C"/>
    <w:rsid w:val="16383523"/>
    <w:rsid w:val="17957348"/>
    <w:rsid w:val="18496D0F"/>
    <w:rsid w:val="186A2FA6"/>
    <w:rsid w:val="1AA54936"/>
    <w:rsid w:val="1E790D19"/>
    <w:rsid w:val="21CE2586"/>
    <w:rsid w:val="22D518E0"/>
    <w:rsid w:val="23E341AC"/>
    <w:rsid w:val="2414155B"/>
    <w:rsid w:val="255914F5"/>
    <w:rsid w:val="269C129A"/>
    <w:rsid w:val="26CC1D22"/>
    <w:rsid w:val="28EC4343"/>
    <w:rsid w:val="2A1349DD"/>
    <w:rsid w:val="2B193335"/>
    <w:rsid w:val="2E0F1DA6"/>
    <w:rsid w:val="2F0775A0"/>
    <w:rsid w:val="32770ED0"/>
    <w:rsid w:val="340F3D09"/>
    <w:rsid w:val="34713E7F"/>
    <w:rsid w:val="365B5056"/>
    <w:rsid w:val="389D6B1C"/>
    <w:rsid w:val="39D16722"/>
    <w:rsid w:val="39ED67B4"/>
    <w:rsid w:val="3A795240"/>
    <w:rsid w:val="3B7072B8"/>
    <w:rsid w:val="3DD938DC"/>
    <w:rsid w:val="3ED2362F"/>
    <w:rsid w:val="3F105A2B"/>
    <w:rsid w:val="3F521D6C"/>
    <w:rsid w:val="3FD860CF"/>
    <w:rsid w:val="40595EAF"/>
    <w:rsid w:val="40A419DF"/>
    <w:rsid w:val="42206BD3"/>
    <w:rsid w:val="42674667"/>
    <w:rsid w:val="42780578"/>
    <w:rsid w:val="45273809"/>
    <w:rsid w:val="47E425FE"/>
    <w:rsid w:val="498106AE"/>
    <w:rsid w:val="4B4B6D7C"/>
    <w:rsid w:val="4C0A5E75"/>
    <w:rsid w:val="505363E9"/>
    <w:rsid w:val="50925F6D"/>
    <w:rsid w:val="54284C14"/>
    <w:rsid w:val="579F6D41"/>
    <w:rsid w:val="586E2018"/>
    <w:rsid w:val="5905198F"/>
    <w:rsid w:val="5A7C2027"/>
    <w:rsid w:val="5C3B7C3A"/>
    <w:rsid w:val="5D821EBD"/>
    <w:rsid w:val="5F605BF0"/>
    <w:rsid w:val="60845921"/>
    <w:rsid w:val="60BC0CEF"/>
    <w:rsid w:val="614C1A72"/>
    <w:rsid w:val="617C2ED8"/>
    <w:rsid w:val="68B808FF"/>
    <w:rsid w:val="68C42AB2"/>
    <w:rsid w:val="693C36A0"/>
    <w:rsid w:val="6A6E2CEB"/>
    <w:rsid w:val="6CEE71E6"/>
    <w:rsid w:val="6D2726DD"/>
    <w:rsid w:val="6E703E6A"/>
    <w:rsid w:val="6E8D27C7"/>
    <w:rsid w:val="6F00224C"/>
    <w:rsid w:val="71323A25"/>
    <w:rsid w:val="71452F46"/>
    <w:rsid w:val="71EE23F6"/>
    <w:rsid w:val="72710EDD"/>
    <w:rsid w:val="72E736D4"/>
    <w:rsid w:val="743F7584"/>
    <w:rsid w:val="753E2BFF"/>
    <w:rsid w:val="75DE2E7A"/>
    <w:rsid w:val="76E463EA"/>
    <w:rsid w:val="78E63066"/>
    <w:rsid w:val="7ABD276F"/>
    <w:rsid w:val="7C4D1716"/>
    <w:rsid w:val="7D28064C"/>
    <w:rsid w:val="7E8A15D3"/>
    <w:rsid w:val="7FE647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next w:val="1"/>
    <w:qFormat/>
    <w:uiPriority w:val="0"/>
    <w:pPr>
      <w:ind w:firstLine="420"/>
    </w:pPr>
    <w:rPr>
      <w:rFonts w:ascii="Times New Roman" w:eastAsia="仿宋_GB2312"/>
      <w:kern w:val="2"/>
      <w:sz w:val="21"/>
    </w:rPr>
  </w:style>
  <w:style w:type="paragraph" w:styleId="5">
    <w:name w:val="Body Text"/>
    <w:basedOn w:val="1"/>
    <w:next w:val="6"/>
    <w:qFormat/>
    <w:uiPriority w:val="0"/>
    <w:pPr>
      <w:widowControl/>
      <w:snapToGrid w:val="0"/>
      <w:spacing w:before="60" w:after="160" w:line="259" w:lineRule="auto"/>
      <w:ind w:right="113"/>
    </w:pPr>
    <w:rPr>
      <w:kern w:val="0"/>
      <w:sz w:val="18"/>
      <w:szCs w:val="20"/>
    </w:rPr>
  </w:style>
  <w:style w:type="paragraph" w:customStyle="1" w:styleId="6">
    <w:name w:val="Normal (Web)1"/>
    <w:basedOn w:val="1"/>
    <w:next w:val="7"/>
    <w:qFormat/>
    <w:uiPriority w:val="0"/>
    <w:pPr>
      <w:widowControl/>
      <w:jc w:val="left"/>
    </w:pPr>
    <w:rPr>
      <w:rFonts w:ascii="宋体" w:cs="Times New Roman"/>
      <w:kern w:val="0"/>
      <w:sz w:val="24"/>
      <w:szCs w:val="21"/>
    </w:rPr>
  </w:style>
  <w:style w:type="paragraph" w:customStyle="1" w:styleId="7">
    <w:name w:val="Date1"/>
    <w:basedOn w:val="1"/>
    <w:next w:val="1"/>
    <w:qFormat/>
    <w:uiPriority w:val="0"/>
    <w:pPr>
      <w:ind w:left="2500" w:leftChars="2500"/>
    </w:pPr>
  </w:style>
  <w:style w:type="paragraph" w:styleId="8">
    <w:name w:val="Body Text Indent"/>
    <w:basedOn w:val="1"/>
    <w:next w:val="9"/>
    <w:qFormat/>
    <w:uiPriority w:val="0"/>
    <w:pPr>
      <w:spacing w:after="120"/>
      <w:ind w:left="420" w:leftChars="200"/>
    </w:pPr>
    <w:rPr>
      <w:kern w:val="0"/>
      <w:sz w:val="24"/>
      <w:szCs w:val="20"/>
    </w:rPr>
  </w:style>
  <w:style w:type="paragraph" w:customStyle="1" w:styleId="9">
    <w:name w:val="样式 正文文本缩进 + 行距: 1.5 倍行距"/>
    <w:basedOn w:val="8"/>
    <w:qFormat/>
    <w:uiPriority w:val="0"/>
    <w:pPr>
      <w:spacing w:after="120"/>
      <w:ind w:left="90" w:leftChars="32" w:firstLine="560" w:firstLineChars="200"/>
    </w:pPr>
    <w:rPr>
      <w:rFonts w:cs="宋体"/>
    </w:rPr>
  </w:style>
  <w:style w:type="paragraph" w:styleId="10">
    <w:name w:val="List Bullet 5"/>
    <w:basedOn w:val="1"/>
    <w:semiHidden/>
    <w:unhideWhenUsed/>
    <w:qFormat/>
    <w:uiPriority w:val="99"/>
    <w:pPr>
      <w:numPr>
        <w:ilvl w:val="0"/>
        <w:numId w:val="1"/>
      </w:numPr>
    </w:pPr>
  </w:style>
  <w:style w:type="paragraph" w:styleId="11">
    <w:name w:val="Balloon Text"/>
    <w:basedOn w:val="1"/>
    <w:link w:val="34"/>
    <w:semiHidden/>
    <w:unhideWhenUsed/>
    <w:qFormat/>
    <w:uiPriority w:val="99"/>
    <w:rPr>
      <w:sz w:val="18"/>
      <w:szCs w:val="18"/>
    </w:rPr>
  </w:style>
  <w:style w:type="paragraph" w:styleId="12">
    <w:name w:val="footer"/>
    <w:basedOn w:val="1"/>
    <w:link w:val="33"/>
    <w:semiHidden/>
    <w:unhideWhenUsed/>
    <w:qFormat/>
    <w:uiPriority w:val="99"/>
    <w:pPr>
      <w:tabs>
        <w:tab w:val="center" w:pos="4153"/>
        <w:tab w:val="right" w:pos="8306"/>
      </w:tabs>
      <w:snapToGrid w:val="0"/>
      <w:jc w:val="left"/>
    </w:pPr>
    <w:rPr>
      <w:sz w:val="18"/>
      <w:szCs w:val="18"/>
    </w:rPr>
  </w:style>
  <w:style w:type="paragraph" w:styleId="13">
    <w:name w:val="header"/>
    <w:basedOn w:val="1"/>
    <w:link w:val="3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line="360" w:lineRule="auto"/>
    </w:pPr>
    <w:rPr>
      <w:b/>
      <w:sz w:val="24"/>
    </w:rPr>
  </w:style>
  <w:style w:type="paragraph" w:styleId="15">
    <w:name w:val="List"/>
    <w:basedOn w:val="1"/>
    <w:next w:val="1"/>
    <w:qFormat/>
    <w:uiPriority w:val="0"/>
    <w:pPr>
      <w:ind w:left="200" w:hanging="200" w:hangingChars="200"/>
    </w:pPr>
  </w:style>
  <w:style w:type="paragraph" w:styleId="16">
    <w:name w:val="toc 2"/>
    <w:basedOn w:val="1"/>
    <w:next w:val="1"/>
    <w:semiHidden/>
    <w:qFormat/>
    <w:uiPriority w:val="0"/>
    <w:pPr>
      <w:ind w:left="420" w:leftChars="200"/>
    </w:pPr>
  </w:style>
  <w:style w:type="paragraph" w:styleId="1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topLinePunct/>
      <w:spacing w:line="360" w:lineRule="auto"/>
      <w:ind w:left="1080" w:leftChars="500" w:hanging="1080" w:hangingChars="500"/>
    </w:pPr>
    <w:rPr>
      <w:rFonts w:ascii="Arial" w:hAnsi="Arial" w:eastAsia="仿宋_GB2312"/>
    </w:rPr>
  </w:style>
  <w:style w:type="paragraph" w:styleId="1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9">
    <w:name w:val="Body Text First Indent"/>
    <w:basedOn w:val="1"/>
    <w:qFormat/>
    <w:uiPriority w:val="0"/>
    <w:pPr>
      <w:ind w:firstLine="420" w:firstLineChars="100"/>
    </w:pPr>
    <w:rPr>
      <w:rFonts w:ascii="Times New Roman" w:hAnsi="Times New Roman"/>
      <w:szCs w:val="24"/>
    </w:rPr>
  </w:style>
  <w:style w:type="paragraph" w:styleId="20">
    <w:name w:val="Body Text First Indent 2"/>
    <w:basedOn w:val="8"/>
    <w:next w:val="1"/>
    <w:qFormat/>
    <w:uiPriority w:val="0"/>
    <w:pPr>
      <w:ind w:firstLine="420" w:firstLineChars="200"/>
    </w:pPr>
    <w:rPr>
      <w:kern w:val="2"/>
      <w:sz w:val="21"/>
      <w:szCs w:val="24"/>
    </w:rPr>
  </w:style>
  <w:style w:type="paragraph" w:customStyle="1" w:styleId="23">
    <w:name w:val="Default"/>
    <w:basedOn w:val="24"/>
    <w:next w:val="1"/>
    <w:qFormat/>
    <w:uiPriority w:val="0"/>
    <w:pPr>
      <w:widowControl w:val="0"/>
      <w:tabs>
        <w:tab w:val="left" w:pos="4440"/>
      </w:tabs>
      <w:autoSpaceDE w:val="0"/>
      <w:autoSpaceDN w:val="0"/>
      <w:adjustRightInd w:val="0"/>
    </w:pPr>
    <w:rPr>
      <w:rFonts w:ascii="宋体" w:hAnsi="Calibri" w:eastAsia="宋体" w:cs="宋体"/>
      <w:color w:val="000000"/>
      <w:sz w:val="24"/>
      <w:szCs w:val="24"/>
      <w:lang w:val="en-US" w:eastAsia="zh-CN" w:bidi="ar-SA"/>
    </w:rPr>
  </w:style>
  <w:style w:type="paragraph" w:customStyle="1" w:styleId="24">
    <w:name w:val="纯文本1"/>
    <w:basedOn w:val="1"/>
    <w:qFormat/>
    <w:uiPriority w:val="0"/>
    <w:pPr>
      <w:adjustRightInd w:val="0"/>
    </w:pPr>
    <w:rPr>
      <w:rFonts w:ascii="宋体" w:hAnsi="Courier New"/>
      <w:szCs w:val="20"/>
    </w:rPr>
  </w:style>
  <w:style w:type="paragraph" w:customStyle="1" w:styleId="25">
    <w:name w:val="报告书正文"/>
    <w:basedOn w:val="1"/>
    <w:qFormat/>
    <w:uiPriority w:val="0"/>
    <w:pPr>
      <w:adjustRightInd w:val="0"/>
      <w:snapToGrid w:val="0"/>
      <w:spacing w:line="360" w:lineRule="auto"/>
      <w:ind w:firstLine="425"/>
      <w:textAlignment w:val="baseline"/>
    </w:pPr>
    <w:rPr>
      <w:rFonts w:ascii="Arial" w:hAnsi="Arial" w:cs="Times New Roman"/>
      <w:kern w:val="0"/>
      <w:sz w:val="24"/>
      <w:szCs w:val="24"/>
    </w:rPr>
  </w:style>
  <w:style w:type="paragraph" w:customStyle="1" w:styleId="26">
    <w:name w:val="11111"/>
    <w:basedOn w:val="1"/>
    <w:next w:val="1"/>
    <w:qFormat/>
    <w:uiPriority w:val="0"/>
    <w:pPr>
      <w:spacing w:line="360" w:lineRule="auto"/>
      <w:ind w:firstLine="200" w:firstLineChars="200"/>
    </w:pPr>
    <w:rPr>
      <w:rFonts w:hAnsi="宋体" w:cs="宋体"/>
      <w:szCs w:val="24"/>
    </w:rPr>
  </w:style>
  <w:style w:type="paragraph" w:customStyle="1" w:styleId="27">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28">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29">
    <w:name w:val="样式 正文首行缩进 + 首行缩进:  2 字符1"/>
    <w:basedOn w:val="1"/>
    <w:next w:val="14"/>
    <w:qFormat/>
    <w:uiPriority w:val="0"/>
    <w:pPr>
      <w:spacing w:line="360" w:lineRule="auto"/>
      <w:ind w:firstLine="480" w:firstLineChars="200"/>
    </w:pPr>
    <w:rPr>
      <w:sz w:val="24"/>
    </w:rPr>
  </w:style>
  <w:style w:type="paragraph" w:customStyle="1" w:styleId="30">
    <w:name w:val="表头"/>
    <w:basedOn w:val="15"/>
    <w:next w:val="31"/>
    <w:qFormat/>
    <w:uiPriority w:val="0"/>
    <w:pPr>
      <w:tabs>
        <w:tab w:val="left" w:pos="4440"/>
      </w:tabs>
      <w:autoSpaceDE w:val="0"/>
      <w:autoSpaceDN w:val="0"/>
      <w:adjustRightInd w:val="0"/>
      <w:snapToGrid w:val="0"/>
      <w:spacing w:beforeLines="25" w:afterLines="25" w:line="360" w:lineRule="auto"/>
      <w:ind w:firstLine="200" w:firstLineChars="200"/>
      <w:jc w:val="center"/>
      <w:textAlignment w:val="bottom"/>
    </w:pPr>
    <w:rPr>
      <w:rFonts w:ascii="黑体" w:hAnsi="Calibri" w:eastAsia="黑体" w:cs="Times New Roman"/>
      <w:spacing w:val="16"/>
      <w:kern w:val="0"/>
      <w:sz w:val="24"/>
      <w:szCs w:val="24"/>
    </w:rPr>
  </w:style>
  <w:style w:type="paragraph" w:customStyle="1" w:styleId="31">
    <w:name w:val="表1"/>
    <w:next w:val="1"/>
    <w:qFormat/>
    <w:uiPriority w:val="0"/>
    <w:pPr>
      <w:adjustRightInd w:val="0"/>
      <w:snapToGrid w:val="0"/>
      <w:jc w:val="center"/>
    </w:pPr>
    <w:rPr>
      <w:rFonts w:ascii="宋体" w:hAnsi="Times New Roman" w:eastAsia="宋体" w:cs="Times New Roman"/>
      <w:sz w:val="21"/>
      <w:szCs w:val="22"/>
      <w:lang w:val="en-US" w:eastAsia="zh-CN" w:bidi="ar-SA"/>
    </w:rPr>
  </w:style>
  <w:style w:type="character" w:customStyle="1" w:styleId="32">
    <w:name w:val="页眉 Char"/>
    <w:basedOn w:val="22"/>
    <w:link w:val="13"/>
    <w:semiHidden/>
    <w:qFormat/>
    <w:uiPriority w:val="99"/>
    <w:rPr>
      <w:sz w:val="18"/>
      <w:szCs w:val="18"/>
    </w:rPr>
  </w:style>
  <w:style w:type="character" w:customStyle="1" w:styleId="33">
    <w:name w:val="页脚 Char"/>
    <w:basedOn w:val="22"/>
    <w:link w:val="12"/>
    <w:semiHidden/>
    <w:qFormat/>
    <w:uiPriority w:val="99"/>
    <w:rPr>
      <w:sz w:val="18"/>
      <w:szCs w:val="18"/>
    </w:rPr>
  </w:style>
  <w:style w:type="character" w:customStyle="1" w:styleId="34">
    <w:name w:val="批注框文本 Char"/>
    <w:basedOn w:val="22"/>
    <w:link w:val="11"/>
    <w:semiHidden/>
    <w:qFormat/>
    <w:uiPriority w:val="99"/>
    <w:rPr>
      <w:sz w:val="18"/>
      <w:szCs w:val="18"/>
    </w:rPr>
  </w:style>
  <w:style w:type="paragraph" w:customStyle="1" w:styleId="35">
    <w:name w:val="【正文】"/>
    <w:basedOn w:val="1"/>
    <w:next w:val="17"/>
    <w:qFormat/>
    <w:uiPriority w:val="99"/>
    <w:pPr>
      <w:spacing w:line="360" w:lineRule="auto"/>
      <w:ind w:firstLine="480" w:firstLineChars="200"/>
    </w:pPr>
    <w:rPr>
      <w:rFonts w:ascii="Calibri" w:hAnsi="Calibri" w:eastAsia="宋体" w:cs="Times New Roman"/>
      <w:kern w:val="0"/>
      <w:sz w:val="24"/>
      <w:szCs w:val="24"/>
    </w:rPr>
  </w:style>
  <w:style w:type="paragraph" w:customStyle="1" w:styleId="36">
    <w:name w:val="正文00"/>
    <w:basedOn w:val="1"/>
    <w:next w:val="37"/>
    <w:qFormat/>
    <w:uiPriority w:val="0"/>
    <w:pPr>
      <w:spacing w:line="360" w:lineRule="auto"/>
      <w:ind w:left="480" w:firstLine="3808"/>
    </w:pPr>
    <w:rPr>
      <w:kern w:val="0"/>
      <w:sz w:val="20"/>
      <w:szCs w:val="20"/>
    </w:rPr>
  </w:style>
  <w:style w:type="paragraph" w:customStyle="1" w:styleId="37">
    <w:name w:val="样式 Times New Roman 五号 居中1"/>
    <w:basedOn w:val="1"/>
    <w:next w:val="30"/>
    <w:qFormat/>
    <w:uiPriority w:val="0"/>
    <w:pPr>
      <w:ind w:firstLine="3584"/>
      <w:jc w:val="center"/>
    </w:pPr>
    <w:rPr>
      <w:kern w:val="0"/>
      <w:sz w:val="20"/>
      <w:szCs w:val="20"/>
    </w:rPr>
  </w:style>
  <w:style w:type="paragraph" w:customStyle="1" w:styleId="38">
    <w:name w:val="a正文"/>
    <w:basedOn w:val="39"/>
    <w:qFormat/>
    <w:uiPriority w:val="0"/>
    <w:pPr>
      <w:ind w:firstLine="480"/>
    </w:pPr>
    <w:rPr>
      <w:rFonts w:cs="Times New Roman"/>
    </w:rPr>
  </w:style>
  <w:style w:type="paragraph" w:customStyle="1" w:styleId="39">
    <w:name w:val="正文格式"/>
    <w:basedOn w:val="1"/>
    <w:next w:val="1"/>
    <w:qFormat/>
    <w:uiPriority w:val="0"/>
    <w:pPr>
      <w:spacing w:line="360" w:lineRule="auto"/>
      <w:ind w:firstLine="420" w:firstLineChars="200"/>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1209</Words>
  <Characters>1261</Characters>
  <Lines>1</Lines>
  <Paragraphs>1</Paragraphs>
  <TotalTime>1</TotalTime>
  <ScaleCrop>false</ScaleCrop>
  <LinksUpToDate>false</LinksUpToDate>
  <CharactersWithSpaces>1322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2023-03-27T00:09:00Z</dcterms:created>
  <dc:creator>Administrator</dc:creator>
  <cp:lastModifiedBy>Administrator</cp:lastModifiedBy>
  <cp:lastPrinted>2025-11-06T02:51:00Z</cp:lastPrinted>
  <dcterms:modified xsi:type="dcterms:W3CDTF">2026-01-27T07:47:36Z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C704A37A80F64AEA97A70A9E22318C8F_12</vt:lpwstr>
  </property>
  <property fmtid="{D5CDD505-2E9C-101B-9397-08002B2CF9AE}" pid="4" name="KSOTemplateDocerSaveRecord">
    <vt:lpwstr>eyJoZGlkIjoiZjg1ZDNjODk3YmJjMTkxZTA0MGU1NjA0MzdlNDUzYTUiLCJ1c2VySWQiOiI2MzU0OTQzNjIifQ==</vt:lpwstr>
  </property>
</Properties>
</file>